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60" w:before="0"/>
      </w:pPr>
      <w:r/>
    </w:p>
    <w:p>
      <w:pPr>
        <w:spacing w:after="80"/>
        <w:pBdr>
          <w:bottom w:val="single" w:sz="18" w:space="8" w:color="C56B18"/>
        </w:pBdr>
      </w:pPr>
      <w:r>
        <w:rPr>
          <w:rFonts w:ascii="Arial" w:hAnsi="Arial" w:eastAsia="Arial"/>
          <w:b/>
          <w:i w:val="0"/>
          <w:color w:val="C56B18"/>
          <w:sz w:val="20"/>
        </w:rPr>
        <w:t>HEI SYSTEMS CONCEPT SERIES</w:t>
      </w:r>
    </w:p>
    <w:p>
      <w:pPr>
        <w:spacing w:before="280" w:after="160"/>
      </w:pPr>
      <w:r>
        <w:rPr>
          <w:rFonts w:ascii="Arial" w:hAnsi="Arial" w:eastAsia="Arial"/>
          <w:b/>
          <w:i w:val="0"/>
          <w:color w:val="18334A"/>
          <w:sz w:val="51"/>
        </w:rPr>
        <w:t>A BUILDING SYSTEMS PROPOSAL</w:t>
      </w:r>
    </w:p>
    <w:p>
      <w:pPr>
        <w:spacing w:after="220" w:line="245" w:lineRule="auto"/>
      </w:pPr>
      <w:r>
        <w:rPr>
          <w:rFonts w:ascii="Arial" w:hAnsi="Arial" w:eastAsia="Arial"/>
          <w:b/>
          <w:i w:val="0"/>
          <w:color w:val="18334A"/>
          <w:sz w:val="36"/>
        </w:rPr>
        <w:t>CONSTRUCTION WIDGETS, ENGINEERING, AND</w:t>
        <w:br/>
        <w:t>QUALITY-OF-LIFE IMPROVEMENTS</w:t>
      </w:r>
    </w:p>
    <w:p>
      <w:pPr>
        <w:spacing w:after="240" w:line="269" w:lineRule="auto"/>
      </w:pPr>
      <w:r>
        <w:rPr>
          <w:rFonts w:ascii="Arial" w:hAnsi="Arial" w:eastAsia="Arial"/>
          <w:b w:val="0"/>
          <w:i w:val="0"/>
          <w:color w:val="5E6F7C"/>
          <w:sz w:val="21"/>
        </w:rPr>
        <w:t xml:space="preserve">Independent construction and ship-management tools for </w:t>
      </w:r>
      <w:r>
        <w:rPr>
          <w:rFonts w:ascii="Arial" w:hAnsi="Arial" w:eastAsia="Arial"/>
          <w:b w:val="0"/>
          <w:i/>
          <w:color w:val="5E6F7C"/>
          <w:sz w:val="21"/>
        </w:rPr>
        <w:t>Space Engineers 2</w:t>
      </w:r>
      <w:r>
        <w:rPr>
          <w:rFonts w:ascii="Arial" w:hAnsi="Arial" w:eastAsia="Arial"/>
          <w:b w:val="0"/>
          <w:i w:val="0"/>
          <w:color w:val="5E6F7C"/>
          <w:sz w:val="21"/>
        </w:rPr>
        <w:t xml:space="preserve"> that reduce repetitive work while preserving engineering, logistics, ownership, and survival requirements.</w:t>
      </w:r>
    </w:p>
    <w:p>
      <w:pPr>
        <w:spacing w:after="160" w:before="0"/>
      </w:pPr>
      <w:r/>
    </w:p>
    <w:p>
      <w:r>
        <w:br w:type="page"/>
      </w:r>
    </w:p>
    <w:p>
      <w:pPr>
        <w:pStyle w:val="HEIPageTitle"/>
        <w:spacing w:before="0" w:after="140"/>
        <w:pBdr>
          <w:bottom w:val="single" w:sz="18" w:space="6" w:color="C56B18"/>
        </w:pBdr>
      </w:pPr>
      <w:r>
        <w:rPr>
          <w:rFonts w:ascii="Arial" w:hAnsi="Arial" w:eastAsia="Arial"/>
          <w:b/>
          <w:i w:val="0"/>
          <w:color w:val="18334A"/>
          <w:sz w:val="31"/>
        </w:rPr>
        <w:t>KEY FEATURES AND PROPOSAL SUMMARY</w:t>
      </w:r>
    </w:p>
    <w:p>
      <w:pPr>
        <w:spacing w:before="0" w:after="60" w:line="259" w:lineRule="auto"/>
      </w:pPr>
      <w:r>
        <w:t xml:space="preserve">Building large ships and stations in </w:t>
      </w:r>
      <w:r>
        <w:rPr>
          <w:i/>
        </w:rPr>
        <w:t>Space Engineers 2</w:t>
      </w:r>
      <w:r>
        <w:t xml:space="preserve"> can require extensive repetitive placement, configuration, menu navigation, and manual block management. These burdens increase as grids become larger and more mechanically complex.</w:t>
      </w:r>
    </w:p>
    <w:p>
      <w:pPr>
        <w:spacing w:before="0" w:after="60" w:line="259" w:lineRule="auto"/>
      </w:pPr>
      <w:r>
        <w:t>This proposal introduces independent construction and engineering tools that make large-grid building faster, clearer, and easier to manage without removing the survival, resource, ownership, or engineering systems that define the game.</w:t>
      </w:r>
    </w:p>
    <w:tbl>
      <w:tblPr>
        <w:tblW w:type="auto" w:w="0"/>
        <w:jc w:val="center"/>
        <w:tblLayout w:type="fixed"/>
        <w:tblLook w:firstColumn="1" w:firstRow="1" w:lastColumn="0" w:lastRow="0" w:noHBand="0" w:noVBand="1" w:val="04A0"/>
        <w:tblBorders>
          <w:top w:val="single" w:sz="18" w:space="0" w:color="C56B18"/>
          <w:left w:val="single" w:sz="6" w:space="0" w:color="18334A"/>
          <w:bottom w:val="single" w:sz="6" w:space="0" w:color="18334A"/>
          <w:right w:val="single" w:sz="6" w:space="0" w:color="18334A"/>
          <w:insideH w:val="nil"/>
          <w:insideV w:val="nil"/>
        </w:tblBorders>
      </w:tblPr>
      <w:tblGrid>
        <w:gridCol w:w="10714"/>
      </w:tblGrid>
      <w:tr>
        <w:tc>
          <w:tcPr>
            <w:tcW w:type="dxa" w:w="10440"/>
            <w:shd w:fill="DDE9F2"/>
            <w:tcMar>
              <w:top w:w="140" w:type="dxa"/>
              <w:start w:w="170" w:type="dxa"/>
              <w:bottom w:w="140" w:type="dxa"/>
              <w:end w:w="170" w:type="dxa"/>
            </w:tcMar>
          </w:tcPr>
          <w:p>
            <w:pPr>
              <w:spacing w:after="0" w:line="252" w:lineRule="auto"/>
            </w:pPr>
            <w:r>
              <w:rPr>
                <w:rFonts w:ascii="Arial" w:hAnsi="Arial" w:eastAsia="Arial"/>
                <w:b/>
                <w:i w:val="0"/>
                <w:color w:val="18334A"/>
                <w:sz w:val="20"/>
              </w:rPr>
              <w:t>Each feature operates independently. Edit Mode is a seated ship-management interface; the remaining widgets support selection, construction, refits, configuration, validation, and planning.</w:t>
            </w:r>
          </w:p>
        </w:tc>
      </w:tr>
    </w:tbl>
    <w:tbl>
      <w:tblPr>
        <w:tblW w:type="auto" w:w="0"/>
        <w:jc w:val="center"/>
        <w:tblLayout w:type="fixed"/>
        <w:tblLook w:firstColumn="1" w:firstRow="1" w:lastColumn="0" w:lastRow="0" w:noHBand="0" w:noVBand="1" w:val="04A0"/>
        <w:tblBorders>
          <w:top w:val="nil"/>
          <w:left w:val="nil"/>
          <w:bottom w:val="nil"/>
          <w:right w:val="nil"/>
          <w:insideH w:val="single" w:sz="4" w:space="0" w:color="FFFFFF"/>
          <w:insideV w:val="single" w:sz="4" w:space="0" w:color="FFFFFF"/>
        </w:tblBorders>
      </w:tblPr>
      <w:tblGrid>
        <w:gridCol w:w="5357"/>
        <w:gridCol w:w="5357"/>
      </w:tblGrid>
      <w:tr>
        <w:tc>
          <w:tcPr>
            <w:tcW w:type="dxa" w:w="2520"/>
            <w:shd w:fill="18334A"/>
            <w:tcMar>
              <w:top w:w="110" w:type="dxa"/>
              <w:start w:w="120" w:type="dxa"/>
              <w:bottom w:w="110" w:type="dxa"/>
              <w:end w:w="120" w:type="dxa"/>
            </w:tcMar>
            <w:vAlign w:val="center"/>
          </w:tcPr>
          <w:p>
            <w:pPr>
              <w:spacing w:after="0"/>
            </w:pPr>
            <w:r>
              <w:rPr>
                <w:rFonts w:ascii="Arial" w:hAnsi="Arial" w:eastAsia="Arial"/>
                <w:b/>
                <w:i w:val="0"/>
                <w:color w:val="FFFFFF"/>
                <w:sz w:val="16"/>
              </w:rPr>
              <w:t>DOCUMENT TYPE</w:t>
            </w:r>
          </w:p>
        </w:tc>
        <w:tc>
          <w:tcPr>
            <w:tcW w:type="dxa" w:w="7804"/>
            <w:shd w:fill="EEF2F5"/>
            <w:tcMar>
              <w:top w:w="110" w:type="dxa"/>
              <w:start w:w="140" w:type="dxa"/>
              <w:bottom w:w="110" w:type="dxa"/>
              <w:end w:w="140" w:type="dxa"/>
            </w:tcMar>
            <w:vAlign w:val="center"/>
          </w:tcPr>
          <w:p>
            <w:pPr>
              <w:spacing w:after="0"/>
            </w:pPr>
            <w:r>
              <w:rPr>
                <w:rFonts w:ascii="Arial" w:hAnsi="Arial" w:eastAsia="Arial"/>
                <w:b w:val="0"/>
                <w:i w:val="0"/>
                <w:color w:val="243746"/>
                <w:sz w:val="16"/>
              </w:rPr>
              <w:t>Construction and engineering quality-of-life proposal</w:t>
            </w:r>
          </w:p>
        </w:tc>
      </w:tr>
      <w:tr>
        <w:tc>
          <w:tcPr>
            <w:tcW w:type="dxa" w:w="5357"/>
            <w:shd w:fill="18334A"/>
            <w:tcMar>
              <w:top w:w="110" w:type="dxa"/>
              <w:start w:w="120" w:type="dxa"/>
              <w:bottom w:w="110" w:type="dxa"/>
              <w:end w:w="120" w:type="dxa"/>
            </w:tcMar>
            <w:vAlign w:val="center"/>
          </w:tcPr>
          <w:p>
            <w:pPr>
              <w:spacing w:after="0"/>
            </w:pPr>
            <w:r>
              <w:rPr>
                <w:rFonts w:ascii="Arial" w:hAnsi="Arial" w:eastAsia="Arial"/>
                <w:b/>
                <w:i w:val="0"/>
                <w:color w:val="FFFFFF"/>
                <w:sz w:val="16"/>
              </w:rPr>
              <w:t>PRIMARY SYSTEMS</w:t>
            </w:r>
          </w:p>
        </w:tc>
        <w:tc>
          <w:tcPr>
            <w:tcW w:type="dxa" w:w="5357"/>
            <w:shd w:fill="EEF2F5"/>
            <w:tcMar>
              <w:top w:w="110" w:type="dxa"/>
              <w:start w:w="140" w:type="dxa"/>
              <w:bottom w:w="110" w:type="dxa"/>
              <w:end w:w="140" w:type="dxa"/>
            </w:tcMar>
            <w:vAlign w:val="center"/>
          </w:tcPr>
          <w:p>
            <w:pPr>
              <w:spacing w:after="0"/>
            </w:pPr>
            <w:r>
              <w:rPr>
                <w:rFonts w:ascii="Arial" w:hAnsi="Arial" w:eastAsia="Arial"/>
                <w:b w:val="0"/>
                <w:i w:val="0"/>
                <w:color w:val="243746"/>
                <w:sz w:val="16"/>
              </w:rPr>
              <w:t>Large-grid building, ship management, upgrades, and refits</w:t>
            </w:r>
          </w:p>
        </w:tc>
      </w:tr>
      <w:tr>
        <w:tc>
          <w:tcPr>
            <w:tcW w:type="dxa" w:w="5357"/>
            <w:shd w:fill="18334A"/>
            <w:tcMar>
              <w:top w:w="110" w:type="dxa"/>
              <w:start w:w="120" w:type="dxa"/>
              <w:bottom w:w="110" w:type="dxa"/>
              <w:end w:w="120" w:type="dxa"/>
            </w:tcMar>
            <w:vAlign w:val="center"/>
          </w:tcPr>
          <w:p>
            <w:pPr>
              <w:spacing w:after="0"/>
            </w:pPr>
            <w:r>
              <w:rPr>
                <w:rFonts w:ascii="Arial" w:hAnsi="Arial" w:eastAsia="Arial"/>
                <w:b/>
                <w:i w:val="0"/>
                <w:color w:val="FFFFFF"/>
                <w:sz w:val="16"/>
              </w:rPr>
              <w:t>DESIGN PRIORITY</w:t>
            </w:r>
          </w:p>
        </w:tc>
        <w:tc>
          <w:tcPr>
            <w:tcW w:type="dxa" w:w="5357"/>
            <w:shd w:fill="EEF2F5"/>
            <w:tcMar>
              <w:top w:w="110" w:type="dxa"/>
              <w:start w:w="140" w:type="dxa"/>
              <w:bottom w:w="110" w:type="dxa"/>
              <w:end w:w="140" w:type="dxa"/>
            </w:tcMar>
            <w:vAlign w:val="center"/>
          </w:tcPr>
          <w:p>
            <w:pPr>
              <w:spacing w:after="0"/>
            </w:pPr>
            <w:r>
              <w:rPr>
                <w:rFonts w:ascii="Arial" w:hAnsi="Arial" w:eastAsia="Arial"/>
                <w:b w:val="0"/>
                <w:i w:val="0"/>
                <w:color w:val="243746"/>
                <w:sz w:val="16"/>
              </w:rPr>
              <w:t>Faster workflows without bypassing engineering or survival mechanics</w:t>
            </w:r>
          </w:p>
        </w:tc>
      </w:tr>
    </w:tbl>
    <w:tbl>
      <w:tblPr>
        <w:tblW w:type="auto" w:w="0"/>
        <w:jc w:val="center"/>
        <w:tblLayout w:type="fixed"/>
        <w:tblLook w:firstColumn="1" w:firstRow="1" w:lastColumn="0" w:lastRow="0" w:noHBand="0" w:noVBand="1" w:val="04A0"/>
        <w:tblBorders>
          <w:top w:val="single" w:sz="4" w:space="0" w:color="D7E0E7"/>
          <w:left w:val="single" w:sz="4" w:space="0" w:color="D7E0E7"/>
          <w:bottom w:val="single" w:sz="4" w:space="0" w:color="D7E0E7"/>
          <w:right w:val="single" w:sz="4" w:space="0" w:color="D7E0E7"/>
          <w:insideH w:val="single" w:sz="4" w:space="0" w:color="FFFFFF"/>
          <w:insideV w:val="single" w:sz="4" w:space="0" w:color="FFFFFF"/>
        </w:tblBorders>
      </w:tblPr>
      <w:tblGrid>
        <w:gridCol w:w="5357"/>
        <w:gridCol w:w="5357"/>
      </w:tblGrid>
      <w:tr>
        <w:tc>
          <w:tcPr>
            <w:tcW w:type="dxa" w:w="5097"/>
            <w:shd w:fill="EEF2F5"/>
            <w:tcMar>
              <w:top w:w="110" w:type="dxa"/>
              <w:start w:w="130" w:type="dxa"/>
              <w:bottom w:w="110" w:type="dxa"/>
              <w:end w:w="130" w:type="dxa"/>
            </w:tcMar>
          </w:tcPr>
          <w:p>
            <w:pPr>
              <w:spacing w:after="40"/>
            </w:pPr>
            <w:r>
              <w:rPr>
                <w:rFonts w:ascii="Arial" w:hAnsi="Arial"/>
                <w:b/>
                <w:color w:val="C56B18"/>
                <w:sz w:val="17"/>
              </w:rPr>
              <w:t>SELECTION &amp; IDENTIFICATION</w:t>
            </w:r>
          </w:p>
          <w:p>
            <w:pPr>
              <w:spacing w:after="0"/>
              <w:ind w:left="200" w:hanging="160"/>
            </w:pPr>
            <w:r>
              <w:rPr>
                <w:rFonts w:ascii="Arial" w:hAnsi="Arial"/>
                <w:b/>
                <w:color w:val="C56B18"/>
                <w:sz w:val="15"/>
              </w:rPr>
              <w:t xml:space="preserve">•  </w:t>
            </w:r>
            <w:r>
              <w:rPr>
                <w:rFonts w:ascii="Arial" w:hAnsi="Arial"/>
                <w:b w:val="0"/>
                <w:color w:val="243746"/>
                <w:sz w:val="15"/>
              </w:rPr>
              <w:t>Grid-wide block selection and management</w:t>
            </w:r>
          </w:p>
          <w:p>
            <w:pPr>
              <w:spacing w:after="0"/>
              <w:ind w:left="200" w:hanging="160"/>
            </w:pPr>
            <w:r>
              <w:rPr>
                <w:rFonts w:ascii="Arial" w:hAnsi="Arial"/>
                <w:b/>
                <w:color w:val="C56B18"/>
                <w:sz w:val="15"/>
              </w:rPr>
              <w:t xml:space="preserve">•  </w:t>
            </w:r>
            <w:r>
              <w:rPr>
                <w:rFonts w:ascii="Arial" w:hAnsi="Arial"/>
                <w:b w:val="0"/>
                <w:color w:val="243746"/>
                <w:sz w:val="15"/>
              </w:rPr>
              <w:t>Block-type selection across an entire grid</w:t>
            </w:r>
          </w:p>
          <w:p>
            <w:pPr>
              <w:spacing w:after="0"/>
              <w:ind w:left="200" w:hanging="160"/>
            </w:pPr>
            <w:r>
              <w:rPr>
                <w:rFonts w:ascii="Arial" w:hAnsi="Arial"/>
                <w:b/>
                <w:color w:val="C56B18"/>
                <w:sz w:val="15"/>
              </w:rPr>
              <w:t xml:space="preserve">•  </w:t>
            </w:r>
            <w:r>
              <w:rPr>
                <w:rFonts w:ascii="Arial" w:hAnsi="Arial"/>
                <w:b w:val="0"/>
                <w:color w:val="243746"/>
                <w:sz w:val="15"/>
              </w:rPr>
              <w:t>Grid highlighting and system identification</w:t>
            </w:r>
          </w:p>
          <w:p>
            <w:pPr>
              <w:spacing w:after="0"/>
              <w:ind w:left="200" w:hanging="160"/>
            </w:pPr>
            <w:r>
              <w:rPr>
                <w:rFonts w:ascii="Arial" w:hAnsi="Arial"/>
                <w:b/>
                <w:color w:val="C56B18"/>
                <w:sz w:val="15"/>
              </w:rPr>
              <w:t xml:space="preserve">•  </w:t>
            </w:r>
            <w:r>
              <w:rPr>
                <w:rFonts w:ascii="Arial" w:hAnsi="Arial"/>
                <w:b w:val="0"/>
                <w:color w:val="243746"/>
                <w:sz w:val="15"/>
              </w:rPr>
              <w:t>Reduced Control Panel navigation</w:t>
            </w:r>
          </w:p>
          <w:p>
            <w:pPr>
              <w:spacing w:after="20"/>
              <w:ind w:left="200" w:hanging="160"/>
            </w:pPr>
            <w:r>
              <w:rPr>
                <w:rFonts w:ascii="Arial" w:hAnsi="Arial"/>
                <w:b/>
                <w:color w:val="C56B18"/>
                <w:sz w:val="15"/>
              </w:rPr>
              <w:t xml:space="preserve">•  </w:t>
            </w:r>
            <w:r>
              <w:rPr>
                <w:rFonts w:ascii="Arial" w:hAnsi="Arial"/>
                <w:b w:val="0"/>
                <w:color w:val="243746"/>
                <w:sz w:val="15"/>
              </w:rPr>
              <w:t>Improved large-grid usability</w:t>
            </w:r>
          </w:p>
        </w:tc>
        <w:tc>
          <w:tcPr>
            <w:tcW w:type="dxa" w:w="5097"/>
            <w:shd w:fill="EEF2F5"/>
            <w:tcMar>
              <w:top w:w="110" w:type="dxa"/>
              <w:start w:w="130" w:type="dxa"/>
              <w:bottom w:w="110" w:type="dxa"/>
              <w:end w:w="130" w:type="dxa"/>
            </w:tcMar>
          </w:tcPr>
          <w:p>
            <w:pPr>
              <w:spacing w:after="40"/>
            </w:pPr>
            <w:r>
              <w:rPr>
                <w:rFonts w:ascii="Arial" w:hAnsi="Arial"/>
                <w:b/>
                <w:color w:val="C56B18"/>
                <w:sz w:val="17"/>
              </w:rPr>
              <w:t>EDIT MODE &amp; MANAGEMENT</w:t>
            </w:r>
          </w:p>
          <w:p>
            <w:pPr>
              <w:spacing w:after="0"/>
              <w:ind w:left="200" w:hanging="160"/>
            </w:pPr>
            <w:r>
              <w:rPr>
                <w:rFonts w:ascii="Arial" w:hAnsi="Arial"/>
                <w:b/>
                <w:color w:val="C56B18"/>
                <w:sz w:val="15"/>
              </w:rPr>
              <w:t xml:space="preserve">•  </w:t>
            </w:r>
            <w:r>
              <w:rPr>
                <w:rFonts w:ascii="Arial" w:hAnsi="Arial"/>
                <w:b w:val="0"/>
                <w:color w:val="243746"/>
                <w:sz w:val="15"/>
              </w:rPr>
              <w:t>Dedicated direct ship-system configuration</w:t>
            </w:r>
          </w:p>
          <w:p>
            <w:pPr>
              <w:spacing w:after="0"/>
              <w:ind w:left="200" w:hanging="160"/>
            </w:pPr>
            <w:r>
              <w:rPr>
                <w:rFonts w:ascii="Arial" w:hAnsi="Arial"/>
                <w:b/>
                <w:color w:val="C56B18"/>
                <w:sz w:val="15"/>
              </w:rPr>
              <w:t xml:space="preserve">•  </w:t>
            </w:r>
            <w:r>
              <w:rPr>
                <w:rFonts w:ascii="Arial" w:hAnsi="Arial"/>
                <w:b w:val="0"/>
                <w:color w:val="243746"/>
                <w:sz w:val="15"/>
              </w:rPr>
              <w:t>Bulk block settings management</w:t>
            </w:r>
          </w:p>
          <w:p>
            <w:pPr>
              <w:spacing w:after="0"/>
              <w:ind w:left="200" w:hanging="160"/>
            </w:pPr>
            <w:r>
              <w:rPr>
                <w:rFonts w:ascii="Arial" w:hAnsi="Arial"/>
                <w:b/>
                <w:color w:val="C56B18"/>
                <w:sz w:val="15"/>
              </w:rPr>
              <w:t xml:space="preserve">•  </w:t>
            </w:r>
            <w:r>
              <w:rPr>
                <w:rFonts w:ascii="Arial" w:hAnsi="Arial"/>
                <w:b w:val="0"/>
                <w:color w:val="243746"/>
                <w:sz w:val="15"/>
              </w:rPr>
              <w:t>Direct block grouping and organization</w:t>
            </w:r>
          </w:p>
          <w:p>
            <w:pPr>
              <w:spacing w:after="0"/>
              <w:ind w:left="200" w:hanging="160"/>
            </w:pPr>
            <w:r>
              <w:rPr>
                <w:rFonts w:ascii="Arial" w:hAnsi="Arial"/>
                <w:b/>
                <w:color w:val="C56B18"/>
                <w:sz w:val="15"/>
              </w:rPr>
              <w:t xml:space="preserve">•  </w:t>
            </w:r>
            <w:r>
              <w:rPr>
                <w:rFonts w:ascii="Arial" w:hAnsi="Arial"/>
                <w:b w:val="0"/>
                <w:color w:val="243746"/>
                <w:sz w:val="15"/>
              </w:rPr>
              <w:t>Better mechanical-system management</w:t>
            </w:r>
          </w:p>
          <w:p>
            <w:pPr>
              <w:spacing w:after="20"/>
              <w:ind w:left="200" w:hanging="160"/>
            </w:pPr>
            <w:r>
              <w:rPr>
                <w:rFonts w:ascii="Arial" w:hAnsi="Arial"/>
                <w:b/>
                <w:color w:val="C56B18"/>
                <w:sz w:val="15"/>
              </w:rPr>
              <w:t xml:space="preserve">•  </w:t>
            </w:r>
            <w:r>
              <w:rPr>
                <w:rFonts w:ascii="Arial" w:hAnsi="Arial"/>
                <w:b w:val="0"/>
                <w:color w:val="243746"/>
                <w:sz w:val="15"/>
              </w:rPr>
              <w:t>Streamlined engineering workflow</w:t>
            </w:r>
          </w:p>
        </w:tc>
      </w:tr>
      <w:tr>
        <w:tc>
          <w:tcPr>
            <w:tcW w:type="dxa" w:w="5097"/>
            <w:shd w:fill="F5F7F9"/>
            <w:tcMar>
              <w:top w:w="110" w:type="dxa"/>
              <w:start w:w="130" w:type="dxa"/>
              <w:bottom w:w="110" w:type="dxa"/>
              <w:end w:w="130" w:type="dxa"/>
            </w:tcMar>
          </w:tcPr>
          <w:p>
            <w:pPr>
              <w:spacing w:after="40"/>
            </w:pPr>
            <w:r>
              <w:rPr>
                <w:rFonts w:ascii="Arial" w:hAnsi="Arial"/>
                <w:b/>
                <w:color w:val="C56B18"/>
                <w:sz w:val="17"/>
              </w:rPr>
              <w:t>CONSTRUCTION &amp; REFIT</w:t>
            </w:r>
          </w:p>
          <w:p>
            <w:pPr>
              <w:spacing w:after="0"/>
              <w:ind w:left="200" w:hanging="160"/>
            </w:pPr>
            <w:r>
              <w:rPr>
                <w:rFonts w:ascii="Arial" w:hAnsi="Arial"/>
                <w:b/>
                <w:color w:val="C56B18"/>
                <w:sz w:val="15"/>
              </w:rPr>
              <w:t xml:space="preserve">•  </w:t>
            </w:r>
            <w:r>
              <w:rPr>
                <w:rFonts w:ascii="Arial" w:hAnsi="Arial"/>
                <w:b w:val="0"/>
                <w:color w:val="243746"/>
                <w:sz w:val="15"/>
              </w:rPr>
              <w:t>Single- and multi-block replacement</w:t>
            </w:r>
          </w:p>
          <w:p>
            <w:pPr>
              <w:spacing w:after="0"/>
              <w:ind w:left="200" w:hanging="160"/>
            </w:pPr>
            <w:r>
              <w:rPr>
                <w:rFonts w:ascii="Arial" w:hAnsi="Arial"/>
                <w:b/>
                <w:color w:val="C56B18"/>
                <w:sz w:val="15"/>
              </w:rPr>
              <w:t xml:space="preserve">•  </w:t>
            </w:r>
            <w:r>
              <w:rPr>
                <w:rFonts w:ascii="Arial" w:hAnsi="Arial"/>
                <w:b w:val="0"/>
                <w:color w:val="243746"/>
                <w:sz w:val="15"/>
              </w:rPr>
              <w:t>Area and volume filling</w:t>
            </w:r>
          </w:p>
          <w:p>
            <w:pPr>
              <w:spacing w:after="0"/>
              <w:ind w:left="200" w:hanging="160"/>
            </w:pPr>
            <w:r>
              <w:rPr>
                <w:rFonts w:ascii="Arial" w:hAnsi="Arial"/>
                <w:b/>
                <w:color w:val="C56B18"/>
                <w:sz w:val="15"/>
              </w:rPr>
              <w:t xml:space="preserve">•  </w:t>
            </w:r>
            <w:r>
              <w:rPr>
                <w:rFonts w:ascii="Arial" w:hAnsi="Arial"/>
                <w:b w:val="0"/>
                <w:color w:val="243746"/>
                <w:sz w:val="15"/>
              </w:rPr>
              <w:t>Improved copy-and-paste tools</w:t>
            </w:r>
          </w:p>
          <w:p>
            <w:pPr>
              <w:spacing w:after="0"/>
              <w:ind w:left="200" w:hanging="160"/>
            </w:pPr>
            <w:r>
              <w:rPr>
                <w:rFonts w:ascii="Arial" w:hAnsi="Arial"/>
                <w:b/>
                <w:color w:val="C56B18"/>
                <w:sz w:val="15"/>
              </w:rPr>
              <w:t xml:space="preserve">•  </w:t>
            </w:r>
            <w:r>
              <w:rPr>
                <w:rFonts w:ascii="Arial" w:hAnsi="Arial"/>
                <w:b w:val="0"/>
                <w:color w:val="243746"/>
                <w:sz w:val="15"/>
              </w:rPr>
              <w:t>Enhanced symmetry and mirroring</w:t>
            </w:r>
          </w:p>
          <w:p>
            <w:pPr>
              <w:spacing w:after="20"/>
              <w:ind w:left="200" w:hanging="160"/>
            </w:pPr>
            <w:r>
              <w:rPr>
                <w:rFonts w:ascii="Arial" w:hAnsi="Arial"/>
                <w:b/>
                <w:color w:val="C56B18"/>
                <w:sz w:val="15"/>
              </w:rPr>
              <w:t xml:space="preserve">•  </w:t>
            </w:r>
            <w:r>
              <w:rPr>
                <w:rFonts w:ascii="Arial" w:hAnsi="Arial"/>
                <w:b w:val="0"/>
                <w:color w:val="243746"/>
                <w:sz w:val="15"/>
              </w:rPr>
              <w:t>Faster refits, upgrades, and redesigns</w:t>
            </w:r>
          </w:p>
        </w:tc>
        <w:tc>
          <w:tcPr>
            <w:tcW w:type="dxa" w:w="5097"/>
            <w:shd w:fill="F5F7F9"/>
            <w:tcMar>
              <w:top w:w="110" w:type="dxa"/>
              <w:start w:w="130" w:type="dxa"/>
              <w:bottom w:w="110" w:type="dxa"/>
              <w:end w:w="130" w:type="dxa"/>
            </w:tcMar>
          </w:tcPr>
          <w:p>
            <w:pPr>
              <w:spacing w:after="40"/>
            </w:pPr>
            <w:r>
              <w:rPr>
                <w:rFonts w:ascii="Arial" w:hAnsi="Arial"/>
                <w:b/>
                <w:color w:val="C56B18"/>
                <w:sz w:val="17"/>
              </w:rPr>
              <w:t>PLANNING &amp; SAFEGUARDS</w:t>
            </w:r>
          </w:p>
          <w:p>
            <w:pPr>
              <w:spacing w:after="0"/>
              <w:ind w:left="200" w:hanging="160"/>
            </w:pPr>
            <w:r>
              <w:rPr>
                <w:rFonts w:ascii="Arial" w:hAnsi="Arial"/>
                <w:b/>
                <w:color w:val="C56B18"/>
                <w:sz w:val="15"/>
              </w:rPr>
              <w:t xml:space="preserve">•  </w:t>
            </w:r>
            <w:r>
              <w:rPr>
                <w:rFonts w:ascii="Arial" w:hAnsi="Arial"/>
                <w:b w:val="0"/>
                <w:color w:val="243746"/>
                <w:sz w:val="15"/>
              </w:rPr>
              <w:t>Construction previews before commitment</w:t>
            </w:r>
          </w:p>
          <w:p>
            <w:pPr>
              <w:spacing w:after="0"/>
              <w:ind w:left="200" w:hanging="160"/>
            </w:pPr>
            <w:r>
              <w:rPr>
                <w:rFonts w:ascii="Arial" w:hAnsi="Arial"/>
                <w:b/>
                <w:color w:val="C56B18"/>
                <w:sz w:val="15"/>
              </w:rPr>
              <w:t xml:space="preserve">•  </w:t>
            </w:r>
            <w:r>
              <w:rPr>
                <w:rFonts w:ascii="Arial" w:hAnsi="Arial"/>
                <w:b w:val="0"/>
                <w:color w:val="243746"/>
                <w:sz w:val="15"/>
              </w:rPr>
              <w:t>Resource, component, and mass summaries</w:t>
            </w:r>
          </w:p>
          <w:p>
            <w:pPr>
              <w:spacing w:after="0"/>
              <w:ind w:left="200" w:hanging="160"/>
            </w:pPr>
            <w:r>
              <w:rPr>
                <w:rFonts w:ascii="Arial" w:hAnsi="Arial"/>
                <w:b/>
                <w:color w:val="C56B18"/>
                <w:sz w:val="15"/>
              </w:rPr>
              <w:t xml:space="preserve">•  </w:t>
            </w:r>
            <w:r>
              <w:rPr>
                <w:rFonts w:ascii="Arial" w:hAnsi="Arial"/>
                <w:b w:val="0"/>
                <w:color w:val="243746"/>
                <w:sz w:val="15"/>
              </w:rPr>
              <w:t>Conveyor, power, and connection validation</w:t>
            </w:r>
          </w:p>
          <w:p>
            <w:pPr>
              <w:spacing w:after="0"/>
              <w:ind w:left="200" w:hanging="160"/>
            </w:pPr>
            <w:r>
              <w:rPr>
                <w:rFonts w:ascii="Arial" w:hAnsi="Arial"/>
                <w:b/>
                <w:color w:val="C56B18"/>
                <w:sz w:val="15"/>
              </w:rPr>
              <w:t xml:space="preserve">•  </w:t>
            </w:r>
            <w:r>
              <w:rPr>
                <w:rFonts w:ascii="Arial" w:hAnsi="Arial"/>
                <w:b w:val="0"/>
                <w:color w:val="243746"/>
                <w:sz w:val="15"/>
              </w:rPr>
              <w:t>No free construction in survival</w:t>
            </w:r>
          </w:p>
          <w:p>
            <w:pPr>
              <w:spacing w:after="20"/>
              <w:ind w:left="200" w:hanging="160"/>
            </w:pPr>
            <w:r>
              <w:rPr>
                <w:rFonts w:ascii="Arial" w:hAnsi="Arial"/>
                <w:b/>
                <w:color w:val="C56B18"/>
                <w:sz w:val="15"/>
              </w:rPr>
              <w:t xml:space="preserve">•  </w:t>
            </w:r>
            <w:r>
              <w:rPr>
                <w:rFonts w:ascii="Arial" w:hAnsi="Arial"/>
                <w:b w:val="0"/>
                <w:color w:val="243746"/>
                <w:sz w:val="15"/>
              </w:rPr>
              <w:t>Multiplayer permissions and server limits</w:t>
            </w:r>
          </w:p>
        </w:tc>
      </w:tr>
    </w:tbl>
    <w:p>
      <w:r>
        <w:br w:type="page"/>
      </w:r>
    </w:p>
    <w:p>
      <w:pPr>
        <w:pStyle w:val="HEIPageTitle"/>
        <w:spacing w:before="0" w:after="140"/>
        <w:pBdr>
          <w:bottom w:val="single" w:sz="18" w:space="6" w:color="C56B18"/>
        </w:pBdr>
      </w:pPr>
      <w:r>
        <w:rPr>
          <w:rFonts w:ascii="Arial" w:hAnsi="Arial" w:eastAsia="Arial"/>
          <w:b/>
          <w:i w:val="0"/>
          <w:color w:val="18334A"/>
          <w:sz w:val="31"/>
        </w:rPr>
        <w:t>SELECTION, EDIT MODE, AND IDENTIFICATION</w:t>
      </w:r>
    </w:p>
    <w:p>
      <w:pPr>
        <w:pStyle w:val="HEISection"/>
        <w:spacing w:before="80" w:after="60"/>
        <w:keepNext/>
        <w:keepLines/>
      </w:pPr>
      <w:r>
        <w:rPr>
          <w:rFonts w:ascii="Arial" w:hAnsi="Arial" w:eastAsia="Arial"/>
          <w:b/>
          <w:i w:val="0"/>
          <w:color w:val="18334A"/>
          <w:sz w:val="24"/>
        </w:rPr>
        <w:t>1. GRID AND BLOCK SELECTION</w:t>
      </w:r>
    </w:p>
    <w:p>
      <w:pPr>
        <w:spacing w:before="0" w:after="60" w:line="259" w:lineRule="auto"/>
      </w:pPr>
      <w:r>
        <w:t>Players should be able to select an entire connected grid or choose every block of a specific type within that grid.</w:t>
      </w:r>
    </w:p>
    <w:p>
      <w:pPr>
        <w:spacing w:before="0" w:after="60" w:line="259" w:lineRule="auto"/>
      </w:pPr>
      <w:r>
        <w:t>This would support large-scale repainting, system location, configuration changes, organization, replacement, and modification preparation.</w:t>
      </w:r>
    </w:p>
    <w:p>
      <w:pPr>
        <w:spacing w:before="0" w:after="110" w:line="252" w:lineRule="auto"/>
        <w:ind w:left="259" w:hanging="202"/>
      </w:pPr>
      <w:r>
        <w:rPr>
          <w:rFonts w:ascii="Arial" w:hAnsi="Arial" w:eastAsia="Arial"/>
          <w:b/>
          <w:i w:val="0"/>
          <w:color w:val="C56B18"/>
          <w:sz w:val="17"/>
        </w:rPr>
        <w:t xml:space="preserve">•  </w:t>
      </w:r>
      <w:r>
        <w:rPr>
          <w:rFonts w:ascii="Arial" w:hAnsi="Arial" w:eastAsia="Arial"/>
          <w:b w:val="0"/>
          <w:i w:val="0"/>
          <w:color w:val="243746"/>
          <w:sz w:val="17"/>
        </w:rPr>
        <w:t>Block-type selection could instantly identify thrusters, lights, batteries, reactors, conveyors, armor blocks, production blocks, or other installed components.</w:t>
      </w:r>
    </w:p>
    <w:p>
      <w:pPr>
        <w:pStyle w:val="HEISection"/>
        <w:spacing w:before="80" w:after="60"/>
        <w:keepNext/>
        <w:keepLines/>
      </w:pPr>
      <w:r>
        <w:rPr>
          <w:rFonts w:ascii="Arial" w:hAnsi="Arial" w:eastAsia="Arial"/>
          <w:b/>
          <w:i w:val="0"/>
          <w:color w:val="18334A"/>
          <w:sz w:val="24"/>
        </w:rPr>
        <w:t>2. EDIT MODE</w:t>
      </w:r>
    </w:p>
    <w:p>
      <w:pPr>
        <w:spacing w:before="0" w:after="60" w:line="259" w:lineRule="auto"/>
      </w:pPr>
      <w:r>
        <w:t>Edit Mode would be a separate ship-management feature accessed while seated in a cockpit, control seat, or control station.</w:t>
      </w:r>
    </w:p>
    <w:p>
      <w:pPr>
        <w:spacing w:before="0" w:after="60" w:line="259" w:lineRule="auto"/>
      </w:pPr>
      <w:r>
        <w:t>The player could freely look around the connected ship and directly interact with installed blocks instead of repeatedly opening and searching through the Control Panel.</w:t>
      </w:r>
    </w:p>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Rotors, hinges, and pistons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Assemblers and refineries</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Batteries and reactors</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Lights and sensors</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Connectors and utility systems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Other configurable functional blocks</w:t>
            </w:r>
          </w:p>
        </w:tc>
      </w:tr>
    </w:tbl>
    <w:p>
      <w:pPr>
        <w:spacing w:before="0" w:after="60" w:line="259" w:lineRule="auto"/>
      </w:pPr>
      <w:r>
        <w:t>Edit Mode would not be a construction mode or a master interface containing the other proposed tools. Its purpose is to make the management of existing ship systems more direct, visual, and intuitive.</w:t>
      </w:r>
    </w:p>
    <w:p>
      <w:pPr>
        <w:pStyle w:val="HEISection"/>
        <w:spacing w:before="80" w:after="60"/>
        <w:keepNext/>
        <w:keepLines/>
      </w:pPr>
      <w:r>
        <w:rPr>
          <w:rFonts w:ascii="Arial" w:hAnsi="Arial" w:eastAsia="Arial"/>
          <w:b/>
          <w:i w:val="0"/>
          <w:color w:val="18334A"/>
          <w:sz w:val="24"/>
        </w:rPr>
        <w:t>3. HIGHLIGHTING AND IDENTIFICATION</w:t>
      </w:r>
    </w:p>
    <w:p>
      <w:pPr>
        <w:spacing w:before="0" w:after="60" w:line="259" w:lineRule="auto"/>
      </w:pPr>
      <w:r>
        <w:t>A grid-highlighting tool would visually mark selected blocks or systems, helping players find hidden machinery, damaged blocks, disconnected systems, specific block types, or components buried inside a ship.</w:t>
      </w:r>
    </w:p>
    <w:p>
      <w:pPr>
        <w:spacing w:before="0" w:after="110" w:line="252" w:lineRule="auto"/>
        <w:ind w:left="259" w:hanging="202"/>
      </w:pPr>
      <w:r>
        <w:rPr>
          <w:rFonts w:ascii="Arial" w:hAnsi="Arial" w:eastAsia="Arial"/>
          <w:b/>
          <w:i w:val="0"/>
          <w:color w:val="C56B18"/>
          <w:sz w:val="17"/>
        </w:rPr>
        <w:t xml:space="preserve">•  </w:t>
      </w:r>
      <w:r>
        <w:rPr>
          <w:rFonts w:ascii="Arial" w:hAnsi="Arial" w:eastAsia="Arial"/>
          <w:b w:val="0"/>
          <w:i w:val="0"/>
          <w:color w:val="243746"/>
          <w:sz w:val="17"/>
        </w:rPr>
        <w:t>Highlighting could also support troubleshooting by showing conveyor routes, power systems, mechanical connections, or selected block groups.</w:t>
      </w:r>
    </w:p>
    <w:p>
      <w:r>
        <w:br w:type="page"/>
      </w:r>
    </w:p>
    <w:p>
      <w:pPr>
        <w:pStyle w:val="HEIPageTitle"/>
        <w:spacing w:before="0" w:after="140"/>
        <w:pBdr>
          <w:bottom w:val="single" w:sz="18" w:space="6" w:color="C56B18"/>
        </w:pBdr>
      </w:pPr>
      <w:r>
        <w:rPr>
          <w:rFonts w:ascii="Arial" w:hAnsi="Arial" w:eastAsia="Arial"/>
          <w:b/>
          <w:i w:val="0"/>
          <w:color w:val="18334A"/>
          <w:sz w:val="31"/>
        </w:rPr>
        <w:t>CONSTRUCTION AND REFIT TOOLS</w:t>
      </w:r>
    </w:p>
    <w:p>
      <w:pPr>
        <w:pStyle w:val="HEISection"/>
        <w:spacing w:before="80" w:after="60"/>
        <w:keepNext/>
        <w:keepLines/>
      </w:pPr>
      <w:r>
        <w:rPr>
          <w:rFonts w:ascii="Arial" w:hAnsi="Arial" w:eastAsia="Arial"/>
          <w:b/>
          <w:i w:val="0"/>
          <w:color w:val="18334A"/>
          <w:sz w:val="24"/>
        </w:rPr>
        <w:t>4. BLOCK REPLACEMENT</w:t>
      </w:r>
    </w:p>
    <w:p>
      <w:pPr>
        <w:spacing w:before="0" w:after="60" w:line="259" w:lineRule="auto"/>
      </w:pPr>
      <w:r>
        <w:t>The replacement widget would exchange one block for another compatible block while preserving its position and orientation where possible. A multi-block version could apply the same process across a selected area or block type.</w:t>
      </w:r>
    </w:p>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Replace light armor with heavy armor</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Upgrade older thrusters</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Exchange one conveyor type for another</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Replace damaged or outdated systems</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Update repeated blocks across a vessel</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Preserve position and orientation where valid</w:t>
            </w:r>
          </w:p>
        </w:tc>
      </w:tr>
    </w:tbl>
    <w:p>
      <w:pPr>
        <w:spacing w:before="0" w:after="60" w:line="259" w:lineRule="auto"/>
      </w:pPr>
      <w:r>
        <w:t>In survival mode, replacement would still require the necessary components, tools, access, ownership, and construction time.</w:t>
      </w:r>
    </w:p>
    <w:p>
      <w:pPr>
        <w:pStyle w:val="HEISection"/>
        <w:spacing w:before="80" w:after="60"/>
        <w:keepNext/>
        <w:keepLines/>
      </w:pPr>
      <w:r>
        <w:rPr>
          <w:rFonts w:ascii="Arial" w:hAnsi="Arial" w:eastAsia="Arial"/>
          <w:b/>
          <w:i w:val="0"/>
          <w:color w:val="18334A"/>
          <w:sz w:val="24"/>
        </w:rPr>
        <w:t>5. FILL WIDGET</w:t>
      </w:r>
    </w:p>
    <w:p>
      <w:pPr>
        <w:spacing w:before="0" w:after="60" w:line="259" w:lineRule="auto"/>
      </w:pPr>
      <w:r>
        <w:t>The Fill Widget would populate a selected enclosed area or defined volume with a chosen block. It would support floors, walls, armor sections, internal compartments, bulkheads, structural frames, and other large repetitive areas.</w:t>
      </w:r>
    </w:p>
    <w:p>
      <w:pPr>
        <w:spacing w:before="0" w:after="24" w:line="252" w:lineRule="auto"/>
        <w:ind w:left="259" w:hanging="202"/>
      </w:pPr>
      <w:r>
        <w:rPr>
          <w:rFonts w:ascii="Arial" w:hAnsi="Arial" w:eastAsia="Arial"/>
          <w:b/>
          <w:i w:val="0"/>
          <w:color w:val="C56B18"/>
          <w:sz w:val="17"/>
        </w:rPr>
        <w:t xml:space="preserve">•  </w:t>
      </w:r>
      <w:r>
        <w:rPr>
          <w:rFonts w:ascii="Arial" w:hAnsi="Arial" w:eastAsia="Arial"/>
          <w:b w:val="0"/>
          <w:i w:val="0"/>
          <w:color w:val="243746"/>
          <w:sz w:val="17"/>
        </w:rPr>
        <w:t>The player defines the volume, block type, and orientation; the tool performs only the repeated placement.</w:t>
      </w:r>
    </w:p>
    <w:p>
      <w:pPr>
        <w:spacing w:before="0" w:after="110" w:line="252" w:lineRule="auto"/>
        <w:ind w:left="259" w:hanging="202"/>
      </w:pPr>
      <w:r>
        <w:rPr>
          <w:rFonts w:ascii="Arial" w:hAnsi="Arial" w:eastAsia="Arial"/>
          <w:b/>
          <w:i w:val="0"/>
          <w:color w:val="C56B18"/>
          <w:sz w:val="17"/>
        </w:rPr>
        <w:t xml:space="preserve">•  </w:t>
      </w:r>
      <w:r>
        <w:rPr>
          <w:rFonts w:ascii="Arial" w:hAnsi="Arial" w:eastAsia="Arial"/>
          <w:b w:val="0"/>
          <w:i w:val="0"/>
          <w:color w:val="243746"/>
          <w:sz w:val="17"/>
        </w:rPr>
        <w:t>A preview would calculate the required components and total mass before construction begins.</w:t>
      </w:r>
    </w:p>
    <w:p>
      <w:pPr>
        <w:pStyle w:val="HEISection"/>
        <w:spacing w:before="80" w:after="60"/>
        <w:keepNext/>
        <w:keepLines/>
      </w:pPr>
      <w:r>
        <w:rPr>
          <w:rFonts w:ascii="Arial" w:hAnsi="Arial" w:eastAsia="Arial"/>
          <w:b/>
          <w:i w:val="0"/>
          <w:color w:val="18334A"/>
          <w:sz w:val="24"/>
        </w:rPr>
        <w:t>6. BLOCK CONFIGURATION AND GROUPING</w:t>
      </w:r>
    </w:p>
    <w:p>
      <w:pPr>
        <w:spacing w:before="0" w:after="60" w:line="259" w:lineRule="auto"/>
      </w:pPr>
      <w:r>
        <w:t>The Block Configuration Widget would apply shared settings across multiple selected compatible blocks at once.</w:t>
      </w:r>
    </w:p>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Power settings and battery modes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Light color and intensity</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Thruster overrides</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Rotor, hinge, and piston limits</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Sensor ranges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Inventory or production settings</w:t>
            </w:r>
          </w:p>
        </w:tc>
      </w:tr>
    </w:tbl>
    <w:p>
      <w:pPr>
        <w:spacing w:before="0" w:after="60" w:line="259" w:lineRule="auto"/>
      </w:pPr>
      <w:r>
        <w:t>The Block Grouping Widget would place selected blocks into a named group directly from the construction interface. Together, these tools would substantially reduce time spent navigating long Control Panel lists.</w:t>
      </w:r>
    </w:p>
    <w:p>
      <w:r>
        <w:br w:type="page"/>
      </w:r>
    </w:p>
    <w:p>
      <w:pPr>
        <w:pStyle w:val="HEIPageTitle"/>
        <w:spacing w:before="0" w:after="140"/>
        <w:pBdr>
          <w:bottom w:val="single" w:sz="18" w:space="6" w:color="C56B18"/>
        </w:pBdr>
      </w:pPr>
      <w:r>
        <w:rPr>
          <w:rFonts w:ascii="Arial" w:hAnsi="Arial" w:eastAsia="Arial"/>
          <w:b/>
          <w:i w:val="0"/>
          <w:color w:val="18334A"/>
          <w:sz w:val="31"/>
        </w:rPr>
        <w:t>DUPLICATION, PLANNING, AND SAFEGUARDS</w:t>
      </w:r>
    </w:p>
    <w:p>
      <w:pPr>
        <w:pStyle w:val="HEISection"/>
        <w:spacing w:before="80" w:after="60"/>
        <w:keepNext/>
        <w:keepLines/>
      </w:pPr>
      <w:r>
        <w:rPr>
          <w:rFonts w:ascii="Arial" w:hAnsi="Arial" w:eastAsia="Arial"/>
          <w:b/>
          <w:i w:val="0"/>
          <w:color w:val="18334A"/>
          <w:sz w:val="24"/>
        </w:rPr>
        <w:t>7. COPY, PASTE, SYMMETRY, AND MIRRORING</w:t>
      </w:r>
    </w:p>
    <w:p>
      <w:pPr>
        <w:spacing w:before="0" w:after="60" w:line="259" w:lineRule="auto"/>
      </w:pPr>
      <w:r>
        <w:t>Improved copy-and-paste tools would allow players to duplicate selected structures, mechanical assemblies, interior layouts, conveyor sections, or repeated ship modules.</w:t>
      </w:r>
    </w:p>
    <w:p>
      <w:pPr>
        <w:spacing w:before="0" w:after="60" w:line="259" w:lineRule="auto"/>
      </w:pPr>
      <w:r>
        <w:t>Expanded symmetry and mirroring tools would allow more flexible symmetry-plane placement and provide a clear mirrored preview before changes are committed.</w:t>
      </w:r>
    </w:p>
    <w:p>
      <w:pPr>
        <w:spacing w:before="0" w:after="24" w:line="252" w:lineRule="auto"/>
        <w:ind w:left="259" w:hanging="202"/>
      </w:pPr>
      <w:r>
        <w:rPr>
          <w:rFonts w:ascii="Arial" w:hAnsi="Arial" w:eastAsia="Arial"/>
          <w:b/>
          <w:i w:val="0"/>
          <w:color w:val="C56B18"/>
          <w:sz w:val="17"/>
        </w:rPr>
        <w:t xml:space="preserve">•  </w:t>
      </w:r>
      <w:r>
        <w:rPr>
          <w:rFonts w:ascii="Arial" w:hAnsi="Arial" w:eastAsia="Arial"/>
          <w:b w:val="0"/>
          <w:i w:val="0"/>
          <w:color w:val="243746"/>
          <w:sz w:val="17"/>
        </w:rPr>
        <w:t>These systems duplicate player-designed work; they do not design the original structure or remove resource costs.</w:t>
      </w:r>
    </w:p>
    <w:p>
      <w:pPr>
        <w:spacing w:before="0" w:after="110" w:line="252" w:lineRule="auto"/>
        <w:ind w:left="259" w:hanging="202"/>
      </w:pPr>
      <w:r>
        <w:rPr>
          <w:rFonts w:ascii="Arial" w:hAnsi="Arial" w:eastAsia="Arial"/>
          <w:b/>
          <w:i w:val="0"/>
          <w:color w:val="C56B18"/>
          <w:sz w:val="17"/>
        </w:rPr>
        <w:t xml:space="preserve">•  </w:t>
      </w:r>
      <w:r>
        <w:rPr>
          <w:rFonts w:ascii="Arial" w:hAnsi="Arial" w:eastAsia="Arial"/>
          <w:b w:val="0"/>
          <w:i w:val="0"/>
          <w:color w:val="243746"/>
          <w:sz w:val="17"/>
        </w:rPr>
        <w:t>Expanded symmetry could support multiple planes, local regions, temporary zones, and unusual hull shapes.</w:t>
      </w:r>
    </w:p>
    <w:p>
      <w:pPr>
        <w:pStyle w:val="HEISection"/>
        <w:spacing w:before="80" w:after="60"/>
        <w:keepNext/>
        <w:keepLines/>
      </w:pPr>
      <w:r>
        <w:rPr>
          <w:rFonts w:ascii="Arial" w:hAnsi="Arial" w:eastAsia="Arial"/>
          <w:b/>
          <w:i w:val="0"/>
          <w:color w:val="18334A"/>
          <w:sz w:val="24"/>
        </w:rPr>
        <w:t>8. CONSTRUCTION PREVIEW AND RESOURCE SUMMARY</w:t>
      </w:r>
    </w:p>
    <w:p>
      <w:pPr>
        <w:spacing w:before="0" w:after="60" w:line="259" w:lineRule="auto"/>
      </w:pPr>
      <w:r>
        <w:t>Before completing a large construction, replacement, fill, copy, or mirrored operation, the game should display a clear preview containing:</w:t>
      </w:r>
    </w:p>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Blocks being added, removed, or replaced</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Required components and missing materials</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Estimated mass change</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Potential power or fuel effects</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Collisions and invalid placements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Disconnected or unsupported sections</w:t>
            </w:r>
          </w:p>
        </w:tc>
      </w:tr>
    </w:tbl>
    <w:p>
      <w:pPr>
        <w:spacing w:before="0" w:after="60" w:line="259" w:lineRule="auto"/>
      </w:pPr>
      <w:r>
        <w:t>This would prevent costly mistakes and make the consequences of major modifications clear before the player commits them.</w:t>
      </w:r>
    </w:p>
    <w:p>
      <w:pPr>
        <w:pStyle w:val="HEISection"/>
        <w:spacing w:before="80" w:after="60"/>
        <w:keepNext/>
        <w:keepLines/>
      </w:pPr>
      <w:r>
        <w:rPr>
          <w:rFonts w:ascii="Arial" w:hAnsi="Arial" w:eastAsia="Arial"/>
          <w:b/>
          <w:i w:val="0"/>
          <w:color w:val="18334A"/>
          <w:sz w:val="24"/>
        </w:rPr>
        <w:t>9. SURVIVAL AND MULTIPLAYER CONSIDERATIONS</w:t>
      </w:r>
    </w:p>
    <w:p>
      <w:pPr>
        <w:spacing w:before="0" w:after="60" w:line="259" w:lineRule="auto"/>
      </w:pPr>
      <w:r>
        <w:t>These tools must not provide free construction, bypass welding, ignore logistics, or override ownership and faction permissions.</w:t>
      </w:r>
    </w:p>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Normal component requirements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Available inventory and conveyor access</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Welding or construction time</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Ownership and faction permissions</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Valid attachment and placement rules</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Server-defined processing limits</w:t>
            </w:r>
          </w:p>
        </w:tc>
      </w:tr>
    </w:tbl>
    <w:p>
      <w:pPr>
        <w:spacing w:before="0" w:after="60" w:line="259" w:lineRule="auto"/>
      </w:pPr>
      <w:r>
        <w:t>Multiplayer servers should be able to limit selection size, replacement volume, fill volume, and the number of blocks processed in a single operation.</w:t>
      </w:r>
    </w:p>
    <w:p>
      <w:r>
        <w:br w:type="page"/>
      </w:r>
    </w:p>
    <w:p>
      <w:pPr>
        <w:pStyle w:val="HEIPageTitle"/>
        <w:spacing w:before="0" w:after="140"/>
        <w:pBdr>
          <w:bottom w:val="single" w:sz="18" w:space="6" w:color="C56B18"/>
        </w:pBdr>
      </w:pPr>
      <w:r>
        <w:rPr>
          <w:rFonts w:ascii="Arial" w:hAnsi="Arial" w:eastAsia="Arial"/>
          <w:b/>
          <w:i w:val="0"/>
          <w:color w:val="18334A"/>
          <w:sz w:val="31"/>
        </w:rPr>
        <w:t>BENEFITS AND CONCLUSION</w:t>
      </w:r>
    </w:p>
    <w:p>
      <w:pPr>
        <w:pStyle w:val="HEISection"/>
        <w:spacing w:before="80" w:after="60"/>
        <w:keepNext/>
        <w:keepLines/>
      </w:pPr>
      <w:r>
        <w:rPr>
          <w:rFonts w:ascii="Arial" w:hAnsi="Arial" w:eastAsia="Arial"/>
          <w:b/>
          <w:i w:val="0"/>
          <w:color w:val="18334A"/>
          <w:sz w:val="24"/>
        </w:rPr>
        <w:t>10. BENEFITS</w:t>
      </w:r>
    </w:p>
    <w:p>
      <w:pPr>
        <w:spacing w:before="0" w:after="60" w:line="259" w:lineRule="auto"/>
      </w:pPr>
      <w:r>
        <w:t xml:space="preserve">Together, these systems would improve construction and ship management without reducing the engineering depth of </w:t>
      </w:r>
      <w:r>
        <w:rPr>
          <w:i/>
        </w:rPr>
        <w:t>Space Engineers 2</w:t>
      </w:r>
      <w:r>
        <w:t>.</w:t>
      </w:r>
    </w:p>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Less repetitive construction work</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Faster upgrades and refits</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Clearer large-grid troubleshooting</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Easier mechanical-system configuration</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Improved industrial and production management</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Preserved survival requirements</w:t>
            </w:r>
          </w:p>
        </w:tc>
      </w:tr>
    </w:tbl>
    <w:tbl>
      <w:tblPr>
        <w:tblW w:type="auto" w:w="0"/>
        <w:jc w:val="center"/>
        <w:tblLayout w:type="fixed"/>
        <w:tblLook w:firstColumn="1" w:firstRow="1" w:lastColumn="0" w:lastRow="0" w:noHBand="0" w:noVBand="1" w:val="04A0"/>
        <w:tblBorders>
          <w:top w:val="single" w:sz="4" w:space="0" w:color="D9E1E7"/>
          <w:left w:val="single" w:sz="4" w:space="0" w:color="D9E1E7"/>
          <w:bottom w:val="single" w:sz="4" w:space="0" w:color="D9E1E7"/>
          <w:right w:val="single" w:sz="4" w:space="0" w:color="D9E1E7"/>
          <w:insideH w:val="single" w:sz="4" w:space="0" w:color="FFFFFF"/>
          <w:insideV w:val="single" w:sz="4" w:space="0" w:color="FFFFFF"/>
        </w:tblBorders>
      </w:tblPr>
      <w:tblGrid>
        <w:gridCol w:w="5357"/>
        <w:gridCol w:w="5357"/>
      </w:tblGrid>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Less unnecessary menu navigation</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More accessible complex grids</w:t>
            </w:r>
          </w:p>
        </w:tc>
      </w:tr>
      <w:tr>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Better fleet standardization</w:t>
            </w:r>
          </w:p>
        </w:tc>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Improved planning before major changes</w:t>
            </w:r>
          </w:p>
        </w:tc>
      </w:tr>
      <w:tr>
        <w:tc>
          <w:tcPr>
            <w:tcW w:type="dxa" w:w="5068"/>
            <w:shd w:fill="EEF2F5"/>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Greater focus on engineering and design</w:t>
            </w:r>
          </w:p>
        </w:tc>
        <w:tc>
          <w:tcPr>
            <w:tcW w:type="dxa" w:w="5068"/>
            <w:shd w:fill="F6F8FA"/>
            <w:tcMar>
              <w:top w:w="65" w:type="dxa"/>
              <w:start w:w="100" w:type="dxa"/>
              <w:bottom w:w="65" w:type="dxa"/>
              <w:end w:w="100" w:type="dxa"/>
            </w:tcMar>
          </w:tcPr>
          <w:p>
            <w:pPr>
              <w:spacing w:after="0"/>
              <w:ind w:left="173" w:hanging="144"/>
            </w:pPr>
            <w:r>
              <w:rPr>
                <w:rFonts w:ascii="Arial" w:hAnsi="Arial" w:eastAsia="Arial"/>
                <w:b/>
                <w:i w:val="0"/>
                <w:color w:val="C56B18"/>
                <w:sz w:val="17"/>
              </w:rPr>
              <w:t xml:space="preserve">•  </w:t>
            </w:r>
            <w:r>
              <w:rPr>
                <w:rFonts w:ascii="Arial" w:hAnsi="Arial" w:eastAsia="Arial"/>
                <w:b w:val="0"/>
                <w:i w:val="0"/>
                <w:color w:val="243746"/>
                <w:sz w:val="17"/>
              </w:rPr>
              <w:t>Independent tools for specific tasks</w:t>
            </w:r>
          </w:p>
        </w:tc>
      </w:tr>
    </w:tbl>
    <w:p>
      <w:pPr>
        <w:spacing w:before="0" w:after="120"/>
        <w:pBdr>
          <w:bottom w:val="single" w:sz="8" w:space="4" w:color="C56B18"/>
        </w:pBdr>
      </w:pPr>
      <w:r>
        <w:rPr>
          <w:rFonts w:ascii="Arial" w:hAnsi="Arial" w:eastAsia="Arial"/>
          <w:b/>
          <w:i w:val="0"/>
          <w:color w:val="18334A"/>
          <w:sz w:val="25"/>
        </w:rPr>
        <w:t>CONCLUSION</w:t>
      </w:r>
    </w:p>
    <w:tbl>
      <w:tblPr>
        <w:tblW w:type="auto" w:w="0"/>
        <w:jc w:val="center"/>
        <w:tblLayout w:type="fixed"/>
        <w:tblLook w:firstColumn="1" w:firstRow="1" w:lastColumn="0" w:lastRow="0" w:noHBand="0" w:noVBand="1" w:val="04A0"/>
        <w:tblBorders>
          <w:top w:val="single" w:sz="18" w:space="0" w:color="C56B18"/>
          <w:left w:val="single" w:sz="6" w:space="0" w:color="18334A"/>
          <w:bottom w:val="single" w:sz="6" w:space="0" w:color="18334A"/>
          <w:right w:val="single" w:sz="6" w:space="0" w:color="18334A"/>
          <w:insideH w:val="nil"/>
          <w:insideV w:val="nil"/>
        </w:tblBorders>
      </w:tblPr>
      <w:tblGrid>
        <w:gridCol w:w="10714"/>
      </w:tblGrid>
      <w:tr>
        <w:tc>
          <w:tcPr>
            <w:tcW w:type="dxa" w:w="10440"/>
            <w:shd w:fill="DDE9F2"/>
            <w:tcMar>
              <w:top w:w="140" w:type="dxa"/>
              <w:start w:w="170" w:type="dxa"/>
              <w:bottom w:w="140" w:type="dxa"/>
              <w:end w:w="170" w:type="dxa"/>
            </w:tcMar>
          </w:tcPr>
          <w:p>
            <w:pPr>
              <w:spacing w:after="0" w:line="252" w:lineRule="auto"/>
            </w:pPr>
            <w:r>
              <w:rPr>
                <w:rFonts w:ascii="Arial" w:hAnsi="Arial" w:eastAsia="Arial"/>
                <w:b/>
                <w:i w:val="0"/>
                <w:color w:val="18334A"/>
                <w:sz w:val="18"/>
              </w:rPr>
              <w:t>These tools are not intended to automate ship design or remove the challenge of construction. They would reduce repetitive actions and improve the player’s ability to build, inspect, configure, upgrade, and operate increasingly large grids. Each feature functions independently, allowing players to use only the tools relevant to the current task while preserving the engineering, survival, and creative gameplay at the center of Space Engineers 2.</w:t>
            </w:r>
          </w:p>
        </w:tc>
      </w:tr>
    </w:tbl>
    <w:sectPr w:rsidR="00FC693F" w:rsidRPr="0006063C" w:rsidSect="00034616">
      <w:headerReference w:type="default" r:id="rId9"/>
      <w:footerReference w:type="default" r:id="rId10"/>
      <w:pgSz w:w="12240" w:h="15840"/>
      <w:pgMar w:top="835" w:right="763" w:bottom="792" w:left="763" w:header="288"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357"/>
      <w:gridCol w:w="5357"/>
    </w:tblGrid>
    <w:tr>
      <w:tc>
        <w:tcPr>
          <w:tcW w:type="dxa" w:w="8496"/>
          <w:tcMar>
            <w:top w:w="0" w:type="dxa"/>
            <w:start w:w="0" w:type="dxa"/>
            <w:bottom w:w="0" w:type="dxa"/>
            <w:end w:w="0" w:type="dxa"/>
          </w:tcMar>
          <w:vAlign w:val="center"/>
        </w:tcPr>
        <w:p>
          <w:pPr>
            <w:jc w:val="left"/>
          </w:pPr>
          <w:r>
            <w:rPr>
              <w:rFonts w:ascii="Arial" w:hAnsi="Arial" w:eastAsia="Arial"/>
              <w:b/>
              <w:i w:val="0"/>
              <w:color w:val="C56B18"/>
              <w:sz w:val="14"/>
            </w:rPr>
            <w:t>BUILDING SYSTEMS DEVELOPMENT PROPOSAL</w:t>
          </w:r>
        </w:p>
      </w:tc>
      <w:tc>
        <w:tcPr>
          <w:tcW w:type="dxa" w:w="2217"/>
          <w:tcMar>
            <w:top w:w="0" w:type="dxa"/>
            <w:start w:w="0" w:type="dxa"/>
            <w:bottom w:w="0" w:type="dxa"/>
            <w:end w:w="0" w:type="dxa"/>
          </w:tcMar>
          <w:vAlign w:val="center"/>
        </w:tcPr>
        <w:p>
          <w:pPr>
            <w:jc w:val="right"/>
          </w:pPr>
          <w:r>
            <w:rPr>
              <w:rFonts w:ascii="Arial" w:hAnsi="Arial" w:eastAsia="Arial"/>
              <w:b/>
              <w:i w:val="0"/>
              <w:color w:val="C56B18"/>
              <w:sz w:val="14"/>
            </w:rPr>
            <w:t xml:space="preserve">PAGE </w:t>
          </w:r>
          <w:r>
            <w:rPr>
              <w:rFonts w:ascii="Arial" w:hAnsi="Arial"/>
              <w:b/>
              <w:color w:val="C56B18"/>
              <w:sz w:val="14"/>
            </w:rPr>
            <w:fldChar w:fldCharType="begin"/>
            <w:instrText xml:space="preserve">PAGE</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line="240" w:lineRule="auto"/>
      <w:pBdr>
        <w:bottom w:val="single" w:sz="10" w:space="4" w:color="18334A"/>
      </w:pBdr>
    </w:pPr>
    <w:r>
      <w:rPr>
        <w:rFonts w:ascii="Arial" w:hAnsi="Arial" w:eastAsia="Arial"/>
        <w:b/>
        <w:i w:val="0"/>
        <w:color w:val="C56B18"/>
        <w:sz w:val="15"/>
      </w:rPr>
      <w:t>HELIX ENGINEERING &amp; INTEGRATION</w:t>
    </w:r>
    <w:r>
      <w:rPr>
        <w:rFonts w:ascii="Arial" w:hAnsi="Arial" w:eastAsia="Arial"/>
        <w:b/>
        <w:i w:val="0"/>
        <w:color w:val="C56B18"/>
        <w:sz w:val="15"/>
      </w:rPr>
      <w:t xml:space="preserve">  |  </w:t>
    </w:r>
    <w:r>
      <w:rPr>
        <w:rFonts w:ascii="Arial" w:hAnsi="Arial" w:eastAsia="Arial"/>
        <w:b/>
        <w:i w:val="0"/>
        <w:color w:val="C56B18"/>
        <w:sz w:val="15"/>
      </w:rPr>
      <w:t>ALMAGEST DIVISION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52" w:lineRule="auto"/>
    </w:pPr>
    <w:rPr>
      <w:rFonts w:ascii="Arial" w:hAnsi="Arial" w:eastAsia="Arial"/>
      <w:color w:val="243746"/>
      <w:sz w:val="18"/>
      <w:lang w:val="en-US"/>
    </w:rPr>
  </w:style>
  <w:style w:type="paragraph" w:styleId="Header">
    <w:name w:val="header"/>
    <w:basedOn w:val="Normal"/>
    <w:link w:val="HeaderChar"/>
    <w:uiPriority w:val="99"/>
    <w:unhideWhenUsed/>
    <w:rsid w:val="00E618B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618BF"/>
    <w:rPr>
      <w:lang w:val="en-US"/>
    </w:rPr>
  </w:style>
  <w:style w:type="paragraph" w:styleId="Footer">
    <w:name w:val="footer"/>
    <w:basedOn w:val="Normal"/>
    <w:link w:val="FooterChar"/>
    <w:uiPriority w:val="99"/>
    <w:unhideWhenUsed/>
    <w:rsid w:val="00E618B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618BF"/>
    <w:rPr>
      <w:lang w:val="en-U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lang w:val="en-US"/>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rPr>
      <w:lang w:val="en-US"/>
    </w:rPr>
  </w:style>
  <w:style w:type="table" w:default="1" w:styleId="TableNormal">
    <w:name w:val="Normal Table"/>
    <w:uiPriority w:val="99"/>
    <w:semiHidden/>
    <w:unhideWhenUsed/>
    <w:rPr>
      <w:lang w:val="en-US"/>
    </w:rPr>
    <w:tblPr>
      <w:tblInd w:w="0" w:type="dxa"/>
      <w:tblCellMar>
        <w:top w:w="0" w:type="dxa"/>
        <w:left w:w="108" w:type="dxa"/>
        <w:bottom w:w="0" w:type="dxa"/>
        <w:right w:w="108" w:type="dxa"/>
      </w:tblCellMar>
    </w:tblPr>
  </w:style>
  <w:style w:type="numbering" w:default="1" w:styleId="NoList">
    <w:name w:val="No List"/>
    <w:uiPriority w:val="99"/>
    <w:semiHidden/>
    <w:unhideWhenUsed/>
    <w:rPr>
      <w:lang w:val="en-US"/>
    </w:rPr>
  </w:style>
  <w:style w:type="paragraph" w:styleId="NoSpacing">
    <w:name w:val="No Spacing"/>
    <w:uiPriority w:val="1"/>
    <w:qFormat/>
    <w:rsid w:val="00FC693F"/>
    <w:pPr>
      <w:spacing w:after="0" w:line="240" w:lineRule="auto"/>
    </w:pPr>
    <w:rPr>
      <w:lang w:val="en-U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lang w:val="en-U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lang w:val="en-US"/>
    </w:rPr>
  </w:style>
  <w:style w:type="paragraph" w:styleId="ListParagraph">
    <w:name w:val="List Paragraph"/>
    <w:basedOn w:val="Normal"/>
    <w:uiPriority w:val="34"/>
    <w:qFormat/>
    <w:rsid w:val="00FC693F"/>
    <w:pPr>
      <w:ind w:left="720"/>
      <w:contextualSpacing/>
    </w:pPr>
    <w:rPr>
      <w:lang w:val="en-US"/>
    </w:rPr>
  </w:style>
  <w:style w:type="paragraph" w:styleId="BodyText">
    <w:name w:val="Body Text"/>
    <w:basedOn w:val="Normal"/>
    <w:link w:val="BodyTextChar"/>
    <w:uiPriority w:val="99"/>
    <w:unhideWhenUsed/>
    <w:rsid w:val="00AA1D8D"/>
    <w:pPr>
      <w:spacing w:after="120"/>
    </w:pPr>
    <w:rPr>
      <w:lang w:val="en-US"/>
    </w:rPr>
  </w:style>
  <w:style w:type="character" w:customStyle="1" w:styleId="BodyTextChar">
    <w:name w:val="Body Text Char"/>
    <w:basedOn w:val="DefaultParagraphFont"/>
    <w:link w:val="BodyText"/>
    <w:uiPriority w:val="99"/>
    <w:rsid w:val="00AA1D8D"/>
    <w:rPr>
      <w:lang w:val="en-US"/>
    </w:rPr>
  </w:style>
  <w:style w:type="paragraph" w:styleId="BodyText2">
    <w:name w:val="Body Text 2"/>
    <w:basedOn w:val="Normal"/>
    <w:link w:val="BodyText2Char"/>
    <w:uiPriority w:val="99"/>
    <w:unhideWhenUsed/>
    <w:rsid w:val="00AA1D8D"/>
    <w:pPr>
      <w:spacing w:after="120" w:line="480" w:lineRule="auto"/>
    </w:pPr>
    <w:rPr>
      <w:lang w:val="en-US"/>
    </w:rPr>
  </w:style>
  <w:style w:type="character" w:customStyle="1" w:styleId="BodyText2Char">
    <w:name w:val="Body Text 2 Char"/>
    <w:basedOn w:val="DefaultParagraphFont"/>
    <w:link w:val="BodyText2"/>
    <w:uiPriority w:val="99"/>
    <w:rsid w:val="00AA1D8D"/>
    <w:rPr>
      <w:lang w:val="en-US"/>
    </w:rPr>
  </w:style>
  <w:style w:type="paragraph" w:styleId="BodyText3">
    <w:name w:val="Body Text 3"/>
    <w:basedOn w:val="Normal"/>
    <w:link w:val="BodyText3Char"/>
    <w:uiPriority w:val="99"/>
    <w:unhideWhenUsed/>
    <w:rsid w:val="00AA1D8D"/>
    <w:pPr>
      <w:spacing w:after="120"/>
    </w:pPr>
    <w:rPr>
      <w:sz w:val="16"/>
      <w:szCs w:val="16"/>
      <w:lang w:val="en-US"/>
    </w:rPr>
  </w:style>
  <w:style w:type="character" w:customStyle="1" w:styleId="BodyText3Char">
    <w:name w:val="Body Text 3 Char"/>
    <w:basedOn w:val="DefaultParagraphFont"/>
    <w:link w:val="BodyText3"/>
    <w:uiPriority w:val="99"/>
    <w:rsid w:val="00AA1D8D"/>
    <w:rPr>
      <w:sz w:val="16"/>
      <w:szCs w:val="16"/>
      <w:lang w:val="en-US"/>
    </w:rPr>
  </w:style>
  <w:style w:type="paragraph" w:styleId="List">
    <w:name w:val="List"/>
    <w:basedOn w:val="Normal"/>
    <w:uiPriority w:val="99"/>
    <w:unhideWhenUsed/>
    <w:rsid w:val="00AA1D8D"/>
    <w:pPr>
      <w:ind w:left="360" w:hanging="360"/>
      <w:contextualSpacing/>
    </w:pPr>
    <w:rPr>
      <w:lang w:val="en-US"/>
    </w:rPr>
  </w:style>
  <w:style w:type="paragraph" w:styleId="List2">
    <w:name w:val="List 2"/>
    <w:basedOn w:val="Normal"/>
    <w:uiPriority w:val="99"/>
    <w:unhideWhenUsed/>
    <w:rsid w:val="00326F90"/>
    <w:pPr>
      <w:ind w:left="720" w:hanging="360"/>
      <w:contextualSpacing/>
    </w:pPr>
    <w:rPr>
      <w:lang w:val="en-US"/>
    </w:rPr>
  </w:style>
  <w:style w:type="paragraph" w:styleId="List3">
    <w:name w:val="List 3"/>
    <w:basedOn w:val="Normal"/>
    <w:uiPriority w:val="99"/>
    <w:unhideWhenUsed/>
    <w:rsid w:val="00326F90"/>
    <w:pPr>
      <w:ind w:left="1080" w:hanging="360"/>
      <w:contextualSpacing/>
    </w:pPr>
    <w:rPr>
      <w:lang w:val="en-US"/>
    </w:rPr>
  </w:style>
  <w:style w:type="paragraph" w:styleId="ListBullet">
    <w:name w:val="List Bullet"/>
    <w:basedOn w:val="Normal"/>
    <w:uiPriority w:val="99"/>
    <w:unhideWhenUsed/>
    <w:rsid w:val="00326F90"/>
    <w:pPr>
      <w:numPr>
        <w:numId w:val="1"/>
      </w:numPr>
      <w:contextualSpacing/>
    </w:pPr>
    <w:rPr>
      <w:lang w:val="en-US"/>
    </w:rPr>
  </w:style>
  <w:style w:type="paragraph" w:styleId="ListBullet2">
    <w:name w:val="List Bullet 2"/>
    <w:basedOn w:val="Normal"/>
    <w:uiPriority w:val="99"/>
    <w:unhideWhenUsed/>
    <w:rsid w:val="00326F90"/>
    <w:pPr>
      <w:numPr>
        <w:numId w:val="2"/>
      </w:numPr>
      <w:contextualSpacing/>
    </w:pPr>
    <w:rPr>
      <w:lang w:val="en-US"/>
    </w:rPr>
  </w:style>
  <w:style w:type="paragraph" w:styleId="ListBullet3">
    <w:name w:val="List Bullet 3"/>
    <w:basedOn w:val="Normal"/>
    <w:uiPriority w:val="99"/>
    <w:unhideWhenUsed/>
    <w:rsid w:val="00326F90"/>
    <w:pPr>
      <w:numPr>
        <w:numId w:val="3"/>
      </w:numPr>
      <w:contextualSpacing/>
    </w:pPr>
    <w:rPr>
      <w:lang w:val="en-US"/>
    </w:rPr>
  </w:style>
  <w:style w:type="paragraph" w:styleId="ListNumber">
    <w:name w:val="List Number"/>
    <w:basedOn w:val="Normal"/>
    <w:uiPriority w:val="99"/>
    <w:unhideWhenUsed/>
    <w:rsid w:val="00326F90"/>
    <w:pPr>
      <w:numPr>
        <w:numId w:val="5"/>
      </w:numPr>
      <w:contextualSpacing/>
    </w:pPr>
    <w:rPr>
      <w:lang w:val="en-US"/>
    </w:rPr>
  </w:style>
  <w:style w:type="paragraph" w:styleId="ListNumber2">
    <w:name w:val="List Number 2"/>
    <w:basedOn w:val="Normal"/>
    <w:uiPriority w:val="99"/>
    <w:unhideWhenUsed/>
    <w:rsid w:val="0029639D"/>
    <w:pPr>
      <w:numPr>
        <w:numId w:val="6"/>
      </w:numPr>
      <w:contextualSpacing/>
    </w:pPr>
    <w:rPr>
      <w:lang w:val="en-US"/>
    </w:rPr>
  </w:style>
  <w:style w:type="paragraph" w:styleId="ListNumber3">
    <w:name w:val="List Number 3"/>
    <w:basedOn w:val="Normal"/>
    <w:uiPriority w:val="99"/>
    <w:unhideWhenUsed/>
    <w:rsid w:val="0029639D"/>
    <w:pPr>
      <w:numPr>
        <w:numId w:val="7"/>
      </w:numPr>
      <w:contextualSpacing/>
    </w:pPr>
    <w:rPr>
      <w:lang w:val="en-US"/>
    </w:rPr>
  </w:style>
  <w:style w:type="paragraph" w:styleId="ListContinue">
    <w:name w:val="List Continue"/>
    <w:basedOn w:val="Normal"/>
    <w:uiPriority w:val="99"/>
    <w:unhideWhenUsed/>
    <w:rsid w:val="0029639D"/>
    <w:pPr>
      <w:spacing w:after="120"/>
      <w:ind w:left="360"/>
      <w:contextualSpacing/>
    </w:pPr>
    <w:rPr>
      <w:lang w:val="en-US"/>
    </w:rPr>
  </w:style>
  <w:style w:type="paragraph" w:styleId="ListContinue2">
    <w:name w:val="List Continue 2"/>
    <w:basedOn w:val="Normal"/>
    <w:uiPriority w:val="99"/>
    <w:unhideWhenUsed/>
    <w:rsid w:val="0029639D"/>
    <w:pPr>
      <w:spacing w:after="120"/>
      <w:ind w:left="720"/>
      <w:contextualSpacing/>
    </w:pPr>
    <w:rPr>
      <w:lang w:val="en-US"/>
    </w:rPr>
  </w:style>
  <w:style w:type="paragraph" w:styleId="ListContinue3">
    <w:name w:val="List Continue 3"/>
    <w:basedOn w:val="Normal"/>
    <w:uiPriority w:val="99"/>
    <w:unhideWhenUsed/>
    <w:rsid w:val="0029639D"/>
    <w:pPr>
      <w:spacing w:after="120"/>
      <w:ind w:left="1080"/>
      <w:contextualSpacing/>
    </w:pPr>
    <w:rPr>
      <w:lang w:val="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lang w:val="en-US"/>
    </w:rPr>
  </w:style>
  <w:style w:type="character" w:customStyle="1" w:styleId="MacroTextChar">
    <w:name w:val="Macro Text Char"/>
    <w:basedOn w:val="DefaultParagraphFont"/>
    <w:link w:val="MacroText"/>
    <w:uiPriority w:val="99"/>
    <w:rsid w:val="0029639D"/>
    <w:rPr>
      <w:rFonts w:ascii="Courier" w:hAnsi="Courier"/>
      <w:sz w:val="20"/>
      <w:szCs w:val="20"/>
      <w:lang w:val="en-US"/>
    </w:rPr>
  </w:style>
  <w:style w:type="paragraph" w:styleId="Quote">
    <w:name w:val="Quote"/>
    <w:basedOn w:val="Normal"/>
    <w:next w:val="Normal"/>
    <w:link w:val="QuoteChar"/>
    <w:uiPriority w:val="29"/>
    <w:qFormat/>
    <w:rsid w:val="00FC693F"/>
    <w:rPr>
      <w:i/>
      <w:iCs/>
      <w:color w:val="000000" w:themeColor="text1"/>
      <w:lang w:val="en-US"/>
    </w:rPr>
  </w:style>
  <w:style w:type="character" w:customStyle="1" w:styleId="QuoteChar">
    <w:name w:val="Quote Char"/>
    <w:basedOn w:val="DefaultParagraphFont"/>
    <w:link w:val="Quote"/>
    <w:uiPriority w:val="29"/>
    <w:rsid w:val="00FC693F"/>
    <w:rPr>
      <w:i/>
      <w:iCs/>
      <w:color w:val="000000" w:themeColor="text1"/>
      <w:lang w:val="en-US"/>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lang w:val="en-US"/>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lang w:val="en-US"/>
    </w:rPr>
  </w:style>
  <w:style w:type="character" w:styleId="Strong">
    <w:name w:val="Strong"/>
    <w:basedOn w:val="DefaultParagraphFont"/>
    <w:uiPriority w:val="22"/>
    <w:qFormat/>
    <w:rsid w:val="00FC693F"/>
    <w:rPr>
      <w:b/>
      <w:bCs/>
      <w:lang w:val="en-US"/>
    </w:rPr>
  </w:style>
  <w:style w:type="character" w:styleId="Emphasis">
    <w:name w:val="Emphasis"/>
    <w:basedOn w:val="DefaultParagraphFont"/>
    <w:uiPriority w:val="20"/>
    <w:qFormat/>
    <w:rsid w:val="00FC693F"/>
    <w:rPr>
      <w:i/>
      <w:iCs/>
      <w:lang w:val="en-U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FC693F"/>
    <w:rPr>
      <w:b/>
      <w:bCs/>
      <w:i/>
      <w:iCs/>
      <w:color w:val="4F81BD" w:themeColor="accent1"/>
      <w:lang w:val="en-US"/>
    </w:rPr>
  </w:style>
  <w:style w:type="character" w:styleId="SubtleEmphasis">
    <w:name w:val="Subtle Emphasis"/>
    <w:basedOn w:val="DefaultParagraphFont"/>
    <w:uiPriority w:val="19"/>
    <w:qFormat/>
    <w:rsid w:val="00FC693F"/>
    <w:rPr>
      <w:i/>
      <w:iCs/>
      <w:color w:val="808080" w:themeColor="text1" w:themeTint="7F"/>
      <w:lang w:val="en-US"/>
    </w:rPr>
  </w:style>
  <w:style w:type="character" w:styleId="IntenseEmphasis">
    <w:name w:val="Intense Emphasis"/>
    <w:basedOn w:val="DefaultParagraphFont"/>
    <w:uiPriority w:val="21"/>
    <w:qFormat/>
    <w:rsid w:val="00FC693F"/>
    <w:rPr>
      <w:b/>
      <w:bCs/>
      <w:i/>
      <w:iCs/>
      <w:color w:val="4F81BD" w:themeColor="accent1"/>
      <w:lang w:val="en-US"/>
    </w:rPr>
  </w:style>
  <w:style w:type="character" w:styleId="SubtleReference">
    <w:name w:val="Subtle Reference"/>
    <w:basedOn w:val="DefaultParagraphFont"/>
    <w:uiPriority w:val="31"/>
    <w:qFormat/>
    <w:rsid w:val="00FC693F"/>
    <w:rPr>
      <w:smallCaps/>
      <w:color w:val="C0504D" w:themeColor="accent2"/>
      <w:u w:val="single"/>
      <w:lang w:val="en-US"/>
    </w:rPr>
  </w:style>
  <w:style w:type="character" w:styleId="IntenseReference">
    <w:name w:val="Intense Reference"/>
    <w:basedOn w:val="DefaultParagraphFont"/>
    <w:uiPriority w:val="32"/>
    <w:qFormat/>
    <w:rsid w:val="00FC693F"/>
    <w:rPr>
      <w:b/>
      <w:bCs/>
      <w:smallCaps/>
      <w:color w:val="C0504D" w:themeColor="accent2"/>
      <w:spacing w:val="5"/>
      <w:u w:val="single"/>
      <w:lang w:val="en-US"/>
    </w:rPr>
  </w:style>
  <w:style w:type="character" w:styleId="BookTitle">
    <w:name w:val="Book Title"/>
    <w:basedOn w:val="DefaultParagraphFont"/>
    <w:uiPriority w:val="33"/>
    <w:qFormat/>
    <w:rsid w:val="00FC693F"/>
    <w:rPr>
      <w:b/>
      <w:bCs/>
      <w:smallCaps/>
      <w:spacing w:val="5"/>
      <w:lang w:val="en-US"/>
    </w:rPr>
  </w:style>
  <w:style w:type="paragraph" w:styleId="TOCHeading">
    <w:name w:val="TOC Heading"/>
    <w:basedOn w:val="Heading1"/>
    <w:next w:val="Normal"/>
    <w:uiPriority w:val="39"/>
    <w:semiHidden/>
    <w:unhideWhenUsed/>
    <w:qFormat/>
    <w:rsid w:val="00FC693F"/>
    <w:pPr>
      <w:outlineLvl w:val="9"/>
    </w:pPr>
    <w:rPr>
      <w:lang w:val="en-US"/>
    </w:rPr>
  </w:style>
  <w:style w:type="table" w:styleId="TableGrid">
    <w:name w:val="Table Grid"/>
    <w:basedOn w:val="TableNormal"/>
    <w:uiPriority w:val="59"/>
    <w:rsid w:val="00FC693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lang w:val="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lang w:val="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lang w:val="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lang w:val="en-US"/>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lang w:val="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lang w:val="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lang w:val="en-U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lang w:val="en-U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lang w:val="en-U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ISection">
    <w:name w:val="HEI Section"/>
    <w:rPr>
      <w:rFonts w:ascii="Arial" w:hAnsi="Arial" w:eastAsia="Arial"/>
      <w:b/>
      <w:color w:val="18334A"/>
      <w:sz w:val="24"/>
      <w:lang w:val="en-US"/>
    </w:rPr>
  </w:style>
  <w:style w:type="paragraph" w:customStyle="1" w:styleId="HEIPageTitle">
    <w:name w:val="HEI Page Title"/>
    <w:rPr>
      <w:rFonts w:ascii="Arial" w:hAnsi="Arial" w:eastAsia="Arial"/>
      <w:b/>
      <w:color w:val="18334A"/>
      <w:sz w:val="31"/>
      <w:lang w:val="en-US"/>
    </w:rPr>
  </w:style>
  <w:style w:type="paragraph" w:customStyle="1" w:styleId="HEISmallLabel">
    <w:name w:val="HEI Small Label"/>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Building Systems Proposal</dc:title>
  <dc:subject>Construction Widgets, Engineering, and Quality-of-Life Improvements</dc:subject>
  <dc:creator>Helix Engineering &amp; Integration</dc:creator>
  <cp:keywords>Space Engineers 2, construction, engineering, HEI, proposal</cp:keywords>
  <dc:description>Editable HEI-styled version designed for reliable import into Google Docs.</dc:description>
  <cp:lastModifiedBy/>
  <cp:revision>1</cp:revision>
  <dcterms:created xsi:type="dcterms:W3CDTF">2013-12-23T23:15:00Z</dcterms:created>
  <dcterms:modified xsi:type="dcterms:W3CDTF">2013-12-23T23:15:00Z</dcterms:modified>
  <cp:category/>
</cp:coreProperties>
</file>